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444632A7"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9175B1">
        <w:rPr>
          <w:sz w:val="22"/>
          <w:szCs w:val="22"/>
        </w:rPr>
        <w:t>17</w:t>
      </w:r>
      <w:r w:rsidR="00F2464F">
        <w:rPr>
          <w:sz w:val="22"/>
          <w:szCs w:val="22"/>
        </w:rPr>
        <w:t xml:space="preserve"> </w:t>
      </w:r>
      <w:r w:rsidR="009175B1">
        <w:rPr>
          <w:sz w:val="22"/>
          <w:szCs w:val="22"/>
        </w:rPr>
        <w:t>May</w:t>
      </w:r>
      <w:bookmarkStart w:id="0" w:name="_GoBack"/>
      <w:bookmarkEnd w:id="0"/>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1" w:name="_Toc317874286"/>
      <w:r w:rsidRPr="008A5FC1">
        <w:t>Instead of an Introduction: Preamble</w:t>
      </w:r>
      <w:bookmarkEnd w:id="1"/>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9175B1">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sidR="009175B1">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sidR="009175B1">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sidR="009175B1">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sidR="009175B1">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sidR="009175B1">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sidR="009175B1">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sidR="009175B1">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sidR="009175B1">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sidR="009175B1">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sidR="009175B1">
            <w:rPr>
              <w:noProof/>
            </w:rPr>
            <w:t>15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sidR="009175B1">
            <w:rPr>
              <w:noProof/>
            </w:rPr>
            <w:t>22</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sidR="009175B1">
            <w:rPr>
              <w:noProof/>
            </w:rPr>
            <w:t>24</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sidR="009175B1">
            <w:rPr>
              <w:noProof/>
            </w:rPr>
            <w:t>25</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sidR="009175B1">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sidR="009175B1">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sidR="009175B1">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sidR="009175B1">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sidR="009175B1">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sidR="009175B1">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sidR="009175B1">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sidR="009175B1">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sidR="009175B1">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sidR="009175B1">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sidR="009175B1">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sidR="009175B1">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sidR="009175B1">
            <w:rPr>
              <w:noProof/>
            </w:rPr>
            <w:t>35</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sidR="009175B1">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sidR="009175B1">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sidR="009175B1">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sidR="009175B1">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sidR="009175B1">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sidR="009175B1">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sidR="009175B1">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sidR="009175B1">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sidR="009175B1">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sidR="009175B1">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sidR="009175B1">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sidR="009175B1">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sidR="009175B1">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sidR="009175B1">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sidR="009175B1">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sidR="009175B1">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sidR="009175B1">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sidR="009175B1">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sidR="009175B1">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2" w:name="_Toc317874287"/>
      <w:r w:rsidRPr="00DD6CE4">
        <w:lastRenderedPageBreak/>
        <w:t>A visual primer</w:t>
      </w:r>
      <w:bookmarkEnd w:id="2"/>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CD0C5E" w:rsidRPr="00DD6CE4" w:rsidRDefault="00CD0C5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CD0C5E" w:rsidRPr="00DD6CE4" w:rsidRDefault="00CD0C5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CD0C5E" w:rsidRPr="00DD6CE4" w:rsidRDefault="00CD0C5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3" w:name="_Toc317874288"/>
      <w:r>
        <w:lastRenderedPageBreak/>
        <w:t>A brief introduction to the concepts behind climada</w:t>
      </w:r>
      <w:bookmarkEnd w:id="3"/>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4" w:name="_Toc317874289"/>
      <w:r w:rsidRPr="00AF398F">
        <w:t>Probabilistic damage model</w:t>
      </w:r>
      <w:bookmarkEnd w:id="4"/>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5" w:name="_Toc317874290"/>
      <w:r w:rsidRPr="006828C5">
        <w:lastRenderedPageBreak/>
        <w:t>Adaptation cost curve</w:t>
      </w:r>
      <w:bookmarkEnd w:id="5"/>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77777777" w:rsidR="00AF398F" w:rsidRPr="006828C5" w:rsidRDefault="00AF398F" w:rsidP="00AF398F">
      <w:pPr>
        <w:rPr>
          <w:sz w:val="22"/>
          <w:szCs w:val="22"/>
        </w:rPr>
      </w:pPr>
      <w:r w:rsidRPr="006828C5">
        <w:rPr>
          <w:sz w:val="22"/>
          <w:szCs w:val="22"/>
        </w:rPr>
        <w:t>The assembled cost curve shows – from left to right – the range of measures from least cost-efficient to most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6" w:name="_Toc317874291"/>
      <w:r>
        <w:lastRenderedPageBreak/>
        <w:t>A note on decision-making</w:t>
      </w:r>
      <w:bookmarkEnd w:id="6"/>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7" w:name="_Toc317874292"/>
      <w:r w:rsidRPr="00356366">
        <w:lastRenderedPageBreak/>
        <w:t>Get</w:t>
      </w:r>
      <w:r w:rsidR="002C730C">
        <w:t>ting</w:t>
      </w:r>
      <w:r w:rsidRPr="00356366">
        <w:t xml:space="preserve"> started</w:t>
      </w:r>
      <w:bookmarkEnd w:id="7"/>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8" w:name="_Toc317874293"/>
      <w:r>
        <w:lastRenderedPageBreak/>
        <w:t>Process on one page</w:t>
      </w:r>
      <w:bookmarkEnd w:id="8"/>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9" w:name="_Toc317874294"/>
      <w:r>
        <w:lastRenderedPageBreak/>
        <w:t>Excel i</w:t>
      </w:r>
      <w:r w:rsidRPr="00467A03">
        <w:t>nterface</w:t>
      </w:r>
      <w:r>
        <w:t xml:space="preserve"> to climada</w:t>
      </w:r>
      <w:bookmarkEnd w:id="9"/>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10" w:name="_Toc317874295"/>
      <w:r>
        <w:lastRenderedPageBreak/>
        <w:t>From tropical cyclone hazard generatio</w:t>
      </w:r>
      <w:r w:rsidR="00DF6D49">
        <w:t>n to the adaptation cost curve</w:t>
      </w:r>
      <w:r w:rsidR="00FD343D">
        <w:rPr>
          <w:rStyle w:val="FootnoteReference"/>
        </w:rPr>
        <w:footnoteReference w:id="23"/>
      </w:r>
      <w:bookmarkEnd w:id="10"/>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1" w:name="_Toc317874296"/>
      <w:r>
        <w:t>Hazard set</w:t>
      </w:r>
      <w:bookmarkEnd w:id="11"/>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2" w:name="_Toc317874297"/>
      <w:r>
        <w:lastRenderedPageBreak/>
        <w:t>Assets and damage functions</w:t>
      </w:r>
      <w:bookmarkEnd w:id="12"/>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3" w:name="_Toc317874298"/>
      <w:r>
        <w:t>Damage calculation</w:t>
      </w:r>
      <w:bookmarkEnd w:id="13"/>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4" w:name="_Toc317874299"/>
      <w:r>
        <w:t>Adaptation cost curve</w:t>
      </w:r>
      <w:bookmarkEnd w:id="14"/>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5" w:name="_Toc317874300"/>
      <w:r>
        <w:br w:type="page"/>
      </w:r>
    </w:p>
    <w:p w14:paraId="05B1EA6E" w14:textId="13E0666F" w:rsidR="001B35A2" w:rsidRDefault="001B35A2" w:rsidP="001B35A2">
      <w:pPr>
        <w:pStyle w:val="Heading1"/>
      </w:pPr>
      <w:r>
        <w:lastRenderedPageBreak/>
        <w:t>Function reference</w:t>
      </w:r>
      <w:bookmarkEnd w:id="15"/>
    </w:p>
    <w:p w14:paraId="5750B872" w14:textId="77777777" w:rsidR="001B35A2" w:rsidRDefault="001B35A2" w:rsidP="0079159D">
      <w:pPr>
        <w:rPr>
          <w:sz w:val="22"/>
          <w:szCs w:val="22"/>
        </w:rPr>
      </w:pPr>
    </w:p>
    <w:p w14:paraId="5DBCF99C" w14:textId="75C8C12E"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17874301"/>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49"/>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0"/>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17874302"/>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lastRenderedPageBreak/>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459B29A4" w14:textId="1225613B" w:rsidR="00A05C18" w:rsidRDefault="005A299D" w:rsidP="00A05C18">
      <w:pPr>
        <w:widowControl w:val="0"/>
        <w:autoSpaceDE w:val="0"/>
        <w:autoSpaceDN w:val="0"/>
        <w:adjustRightInd w:val="0"/>
        <w:ind w:left="284" w:hanging="284"/>
        <w:rPr>
          <w:rFonts w:ascii="Courier" w:hAnsi="Courier" w:cs="Times New Roman"/>
        </w:rPr>
      </w:pPr>
      <w:r>
        <w:rPr>
          <w:rFonts w:ascii="Courier" w:hAnsi="Courier" w:cs="Courier"/>
          <w:color w:val="000000"/>
          <w:sz w:val="20"/>
          <w:szCs w:val="20"/>
        </w:rPr>
        <w:t>climada_EDS_combine</w:t>
      </w:r>
      <w:r w:rsidRPr="00A05C18">
        <w:rPr>
          <w:sz w:val="22"/>
          <w:szCs w:val="22"/>
        </w:rPr>
        <w:t xml:space="preserve">: </w:t>
      </w:r>
      <w:r w:rsidR="00A05C18" w:rsidRPr="00A05C18">
        <w:rPr>
          <w:sz w:val="22"/>
          <w:szCs w:val="22"/>
        </w:rPr>
        <w:t>Combine tw</w:t>
      </w:r>
      <w:r w:rsidR="00A05C18">
        <w:rPr>
          <w:sz w:val="22"/>
          <w:szCs w:val="22"/>
        </w:rPr>
        <w:t xml:space="preserve">o </w:t>
      </w:r>
      <w:r w:rsidR="00EC5557">
        <w:rPr>
          <w:sz w:val="22"/>
          <w:szCs w:val="22"/>
        </w:rPr>
        <w:t xml:space="preserve">(or more) </w:t>
      </w:r>
      <w:r w:rsidR="00A05C18">
        <w:rPr>
          <w:sz w:val="22"/>
          <w:szCs w:val="22"/>
        </w:rPr>
        <w:t xml:space="preserve">event damage sets (EDS), e.g. </w:t>
      </w:r>
      <w:r w:rsidR="00A05C18" w:rsidRPr="00A05C18">
        <w:rPr>
          <w:sz w:val="22"/>
          <w:szCs w:val="22"/>
        </w:rPr>
        <w:t>add damages</w:t>
      </w:r>
      <w:r w:rsidR="00A05C18">
        <w:rPr>
          <w:sz w:val="22"/>
          <w:szCs w:val="22"/>
        </w:rPr>
        <w:t xml:space="preserve"> of TC and TS (same main peril)</w:t>
      </w:r>
      <w:r w:rsidR="00EC5557">
        <w:rPr>
          <w:sz w:val="22"/>
          <w:szCs w:val="22"/>
        </w:rPr>
        <w:t xml:space="preserve"> or EDS for global EQ across several countries.</w:t>
      </w:r>
    </w:p>
    <w:p w14:paraId="6F722200" w14:textId="5E28CB17" w:rsidR="005A299D" w:rsidRPr="005A299D" w:rsidRDefault="005A299D" w:rsidP="005A299D">
      <w:pPr>
        <w:widowControl w:val="0"/>
        <w:autoSpaceDE w:val="0"/>
        <w:autoSpaceDN w:val="0"/>
        <w:adjustRightInd w:val="0"/>
        <w:rPr>
          <w:rFonts w:ascii="Courier" w:hAnsi="Courier" w:cs="Times New Roman"/>
        </w:rPr>
      </w:pPr>
    </w:p>
    <w:p w14:paraId="069B8D64" w14:textId="77777777" w:rsidR="00CA5F8B" w:rsidRDefault="00CA5F8B" w:rsidP="00CA5F8B">
      <w:pPr>
        <w:pStyle w:val="Heading2"/>
      </w:pPr>
      <w:bookmarkStart w:id="18" w:name="_Toc317874303"/>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141C74" w:rsidRDefault="00141C74" w:rsidP="006838E8">
      <w:pPr>
        <w:rPr>
          <w:sz w:val="20"/>
          <w:szCs w:val="20"/>
        </w:rPr>
      </w:pPr>
      <w:r w:rsidRPr="00CD5E79">
        <w:rPr>
          <w:rFonts w:ascii="Courier" w:hAnsi="Courier"/>
          <w:sz w:val="20"/>
          <w:szCs w:val="20"/>
        </w:rPr>
        <w:t>climada_hazard_load</w:t>
      </w:r>
      <w:r w:rsidRPr="00141C74">
        <w:rPr>
          <w:sz w:val="20"/>
          <w:szCs w:val="20"/>
        </w:rPr>
        <w:t>: load hazard event set</w:t>
      </w:r>
    </w:p>
    <w:p w14:paraId="4BC5091E" w14:textId="77777777" w:rsidR="00CA5F8B" w:rsidRDefault="00CA5F8B" w:rsidP="00CA5F8B">
      <w:pPr>
        <w:rPr>
          <w:sz w:val="22"/>
          <w:szCs w:val="22"/>
        </w:rPr>
      </w:pPr>
      <w:r w:rsidRPr="00CD5E79">
        <w:rPr>
          <w:rFonts w:ascii="Courier" w:hAnsi="Courier"/>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17874304"/>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1"/>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17874305"/>
      <w:r>
        <w:t>Tropical cyclone (TC) specif</w:t>
      </w:r>
      <w:r w:rsidR="005C617A">
        <w:t>i</w:t>
      </w:r>
      <w:r>
        <w:t>c functions</w:t>
      </w:r>
      <w:bookmarkEnd w:id="20"/>
    </w:p>
    <w:p w14:paraId="785D8A43" w14:textId="37BA292B"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2"/>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lastRenderedPageBreak/>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3"/>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4"/>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xml:space="preserve">) and for other functionality, like </w:t>
      </w:r>
      <w:r>
        <w:rPr>
          <w:sz w:val="22"/>
          <w:szCs w:val="22"/>
        </w:rPr>
        <w:lastRenderedPageBreak/>
        <w:t>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5"/>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lastRenderedPageBreak/>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9175B1"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w:t>
      </w:r>
      <w:r>
        <w:rPr>
          <w:rFonts w:ascii="Courier New" w:hAnsi="Courier New" w:cs="Courier New"/>
          <w:sz w:val="18"/>
          <w:szCs w:val="22"/>
        </w:rPr>
        <w:t>...</w:t>
      </w:r>
      <w:r>
        <w:rPr>
          <w:rFonts w:ascii="Courier New" w:hAnsi="Courier New" w:cs="Courier New"/>
          <w:sz w:val="18"/>
          <w:szCs w:val="22"/>
        </w:rPr>
        <w:t xml:space="preserve">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9175B1"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9175B1"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lastRenderedPageBreak/>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6"/>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9175B1"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9175B1"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9175B1"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9175B1"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7"/>
      </w:r>
      <w:r>
        <w:rPr>
          <w:sz w:val="22"/>
          <w:szCs w:val="22"/>
        </w:rPr>
        <w:t>, since this code (fragment) does provide access to the climada global variables</w:t>
      </w:r>
      <w:r>
        <w:rPr>
          <w:rStyle w:val="FootnoteReference"/>
          <w:sz w:val="22"/>
          <w:szCs w:val="22"/>
        </w:rPr>
        <w:footnoteReference w:id="58"/>
      </w:r>
      <w:r w:rsidR="006C6D6D">
        <w:rPr>
          <w:sz w:val="22"/>
          <w:szCs w:val="22"/>
        </w:rPr>
        <w:t xml:space="preserve"> and provides the standard function header</w:t>
      </w:r>
      <w:r w:rsidR="006C6D6D">
        <w:rPr>
          <w:rStyle w:val="FootnoteReference"/>
          <w:sz w:val="22"/>
          <w:szCs w:val="22"/>
        </w:rPr>
        <w:footnoteReference w:id="59"/>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0"/>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1"/>
      </w:r>
      <w:r>
        <w:rPr>
          <w:sz w:val="22"/>
          <w:szCs w:val="22"/>
        </w:rPr>
        <w:t xml:space="preserve"> and sub-folders code</w:t>
      </w:r>
      <w:r w:rsidR="007E300C">
        <w:rPr>
          <w:rStyle w:val="FootnoteReference"/>
          <w:sz w:val="22"/>
          <w:szCs w:val="22"/>
        </w:rPr>
        <w:footnoteReference w:id="62"/>
      </w:r>
      <w:r>
        <w:rPr>
          <w:sz w:val="22"/>
          <w:szCs w:val="22"/>
        </w:rPr>
        <w:t xml:space="preserve">, data and docs, as you find </w:t>
      </w:r>
      <w:r>
        <w:rPr>
          <w:sz w:val="22"/>
          <w:szCs w:val="22"/>
        </w:rPr>
        <w:lastRenderedPageBreak/>
        <w:t>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3"/>
      </w:r>
      <w:r>
        <w:rPr>
          <w:sz w:val="22"/>
          <w:szCs w:val="22"/>
        </w:rPr>
        <w:t>.</w:t>
      </w:r>
    </w:p>
    <w:p w14:paraId="4FDA9AC6" w14:textId="6388157B" w:rsidR="00931349" w:rsidRDefault="00931349" w:rsidP="00931349">
      <w:pPr>
        <w:pStyle w:val="Heading2"/>
      </w:pPr>
      <w:bookmarkStart w:id="27" w:name="_Toc317874312"/>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4"/>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5"/>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lastRenderedPageBreak/>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6"/>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7"/>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68"/>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have the exact same name as the column headers</w:t>
      </w:r>
      <w:r w:rsidR="001F3BEF">
        <w:rPr>
          <w:rStyle w:val="FootnoteReference"/>
          <w:sz w:val="22"/>
          <w:szCs w:val="22"/>
        </w:rPr>
        <w:footnoteReference w:id="69"/>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lastRenderedPageBreak/>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0"/>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1"/>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lastRenderedPageBreak/>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2"/>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lastRenderedPageBreak/>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The year damage set (YDS) structure sums damages up over years, especially useful for perils with (quite) likely more than one event per year – or series of events, 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3"/>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4"/>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5"/>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6"/>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7"/>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78"/>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79"/>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0"/>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1"/>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2"/>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3"/>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4"/>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5"/>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6"/>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7"/>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88"/>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89"/>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0"/>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1"/>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9175B1"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9175B1"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9175B1"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9175B1"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2"/>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7" o:title=""/>
          </v:shape>
          <o:OLEObject Type="Embed" ProgID="Equation.3" ShapeID="_x0000_i1025" DrawAspect="Content" ObjectID="_1398872650"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89" o:title=""/>
          </v:shape>
          <o:OLEObject Type="Embed" ProgID="Equation.3" ShapeID="_x0000_i1026" DrawAspect="Content" ObjectID="_1398872651"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3" o:title=""/>
          </v:shape>
          <o:OLEObject Type="Embed" ProgID="Equation.3" ShapeID="_x0000_i1027" DrawAspect="Content" ObjectID="_1398872652"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9175B1"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3"/>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9175B1" w:rsidP="00B65F77">
      <w:pPr>
        <w:pStyle w:val="ListParagraph"/>
        <w:numPr>
          <w:ilvl w:val="0"/>
          <w:numId w:val="25"/>
        </w:numPr>
        <w:rPr>
          <w:sz w:val="22"/>
          <w:szCs w:val="22"/>
        </w:rPr>
      </w:pPr>
      <w:hyperlink r:id="rId104"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9175B1" w:rsidP="00B65F77">
      <w:pPr>
        <w:pStyle w:val="ListParagraph"/>
        <w:numPr>
          <w:ilvl w:val="0"/>
          <w:numId w:val="25"/>
        </w:numPr>
        <w:rPr>
          <w:sz w:val="22"/>
          <w:szCs w:val="22"/>
        </w:rPr>
      </w:pPr>
      <w:hyperlink r:id="rId105"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9175B1" w:rsidP="00B65F77">
      <w:pPr>
        <w:pStyle w:val="ListParagraph"/>
        <w:numPr>
          <w:ilvl w:val="0"/>
          <w:numId w:val="25"/>
        </w:numPr>
        <w:rPr>
          <w:sz w:val="22"/>
          <w:szCs w:val="22"/>
        </w:rPr>
      </w:pPr>
      <w:hyperlink r:id="rId106"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9175B1" w:rsidP="00B65F77">
      <w:pPr>
        <w:pStyle w:val="ListParagraph"/>
        <w:numPr>
          <w:ilvl w:val="0"/>
          <w:numId w:val="25"/>
        </w:numPr>
        <w:rPr>
          <w:sz w:val="22"/>
          <w:szCs w:val="22"/>
        </w:rPr>
      </w:pPr>
      <w:hyperlink r:id="rId107"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8"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9175B1" w:rsidP="00B21F6C">
      <w:pPr>
        <w:pStyle w:val="ListParagraph"/>
        <w:numPr>
          <w:ilvl w:val="0"/>
          <w:numId w:val="25"/>
        </w:numPr>
        <w:rPr>
          <w:sz w:val="22"/>
          <w:szCs w:val="22"/>
        </w:rPr>
      </w:pPr>
      <w:hyperlink r:id="rId109"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9175B1" w:rsidP="00F52B6B">
      <w:pPr>
        <w:pStyle w:val="ListParagraph"/>
        <w:numPr>
          <w:ilvl w:val="0"/>
          <w:numId w:val="25"/>
        </w:numPr>
        <w:rPr>
          <w:sz w:val="22"/>
          <w:szCs w:val="22"/>
        </w:rPr>
      </w:pPr>
      <w:hyperlink r:id="rId110"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9175B1" w:rsidP="00B21F6C">
      <w:pPr>
        <w:pStyle w:val="ListParagraph"/>
        <w:numPr>
          <w:ilvl w:val="0"/>
          <w:numId w:val="25"/>
        </w:numPr>
        <w:rPr>
          <w:sz w:val="22"/>
          <w:szCs w:val="22"/>
        </w:rPr>
      </w:pPr>
      <w:hyperlink r:id="rId111"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9175B1" w:rsidP="00B21F6C">
      <w:pPr>
        <w:pStyle w:val="ListParagraph"/>
        <w:numPr>
          <w:ilvl w:val="0"/>
          <w:numId w:val="25"/>
        </w:numPr>
        <w:rPr>
          <w:sz w:val="22"/>
          <w:szCs w:val="22"/>
        </w:rPr>
      </w:pPr>
      <w:hyperlink r:id="rId112"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3"/>
      <w:footerReference w:type="default" r:id="rId11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altName w:val="Times New Roman"/>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75B1">
      <w:rPr>
        <w:rStyle w:val="PageNumber"/>
        <w:noProof/>
      </w:rPr>
      <w:t>1</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5358F29" w14:textId="7F986D9B" w:rsidR="0062318E" w:rsidRPr="00607527" w:rsidRDefault="0062318E">
      <w:pPr>
        <w:pStyle w:val="FootnoteText"/>
        <w:rPr>
          <w:sz w:val="18"/>
          <w:szCs w:val="18"/>
          <w:lang w:val="de-DE"/>
        </w:rPr>
      </w:pPr>
      <w:r w:rsidRPr="00607527">
        <w:rPr>
          <w:rStyle w:val="FootnoteReference"/>
          <w:sz w:val="18"/>
          <w:szCs w:val="18"/>
        </w:rPr>
        <w:footnoteRef/>
      </w:r>
      <w:r w:rsidRPr="00607527">
        <w:rPr>
          <w:sz w:val="18"/>
          <w:szCs w:val="18"/>
        </w:rPr>
        <w:t xml:space="preserve"> </w:t>
      </w:r>
      <w:r>
        <w:rPr>
          <w:sz w:val="18"/>
          <w:szCs w:val="18"/>
        </w:rPr>
        <w:t xml:space="preserve">climada_entity_read prompts for a hazard event set and hence encodes to the selected hazard’s centroids already. </w:t>
      </w:r>
      <w:r w:rsidRPr="00607527">
        <w:rPr>
          <w:sz w:val="18"/>
          <w:szCs w:val="18"/>
          <w:lang w:val="de-DE"/>
        </w:rPr>
        <w:t xml:space="preserve">For speedup, this is done prior to calling climada_EDS_calc, as </w:t>
      </w:r>
      <w:r>
        <w:rPr>
          <w:sz w:val="18"/>
          <w:szCs w:val="18"/>
          <w:lang w:val="de-DE"/>
        </w:rPr>
        <w:t>mapping all asset locations to t</w:t>
      </w:r>
      <w:r w:rsidRPr="00607527">
        <w:rPr>
          <w:sz w:val="18"/>
          <w:szCs w:val="18"/>
          <w:lang w:val="de-DE"/>
        </w:rPr>
        <w:t>he centr</w:t>
      </w:r>
      <w:r>
        <w:rPr>
          <w:sz w:val="18"/>
          <w:szCs w:val="18"/>
          <w:lang w:val="de-DE"/>
        </w:rPr>
        <w:t>o</w:t>
      </w:r>
      <w:r w:rsidRPr="00607527">
        <w:rPr>
          <w:sz w:val="18"/>
          <w:szCs w:val="18"/>
          <w:lang w:val="de-DE"/>
        </w:rPr>
        <w:t>ids oft he haza</w:t>
      </w:r>
      <w:r>
        <w:rPr>
          <w:sz w:val="18"/>
          <w:szCs w:val="18"/>
          <w:lang w:val="de-DE"/>
        </w:rPr>
        <w:t>rd event set usually does not need to b</w:t>
      </w:r>
      <w:r w:rsidRPr="00607527">
        <w:rPr>
          <w:sz w:val="18"/>
          <w:szCs w:val="18"/>
          <w:lang w:val="de-DE"/>
        </w:rPr>
        <w:t>e repeated</w:t>
      </w:r>
      <w:r>
        <w:rPr>
          <w:sz w:val="18"/>
          <w:szCs w:val="18"/>
          <w:lang w:val="de-DE"/>
        </w:rPr>
        <w:t xml:space="preserve"> each time (e.g. only once for t</w:t>
      </w:r>
      <w:r w:rsidRPr="00607527">
        <w:rPr>
          <w:sz w:val="18"/>
          <w:szCs w:val="18"/>
          <w:lang w:val="de-DE"/>
        </w:rPr>
        <w:t>he series of calculations involved in assessment of adaptation measures).</w:t>
      </w:r>
      <w:r>
        <w:rPr>
          <w:sz w:val="18"/>
          <w:szCs w:val="18"/>
          <w:lang w:val="de-DE"/>
        </w:rPr>
        <w:t xml:space="preserve"> In case multiple hazards (perils) are assessed, re-encoding is required indeed (that’s why climada measures impact works for one hazard at a time only – this code does indeed checl for encoding).</w:t>
      </w:r>
    </w:p>
  </w:footnote>
  <w:footnote w:id="50">
    <w:p w14:paraId="48F5DDCA" w14:textId="7661DD19" w:rsidR="0062318E" w:rsidRPr="00CC0B43" w:rsidRDefault="0062318E">
      <w:pPr>
        <w:pStyle w:val="FootnoteText"/>
        <w:rPr>
          <w:sz w:val="18"/>
          <w:szCs w:val="18"/>
          <w:lang w:val="de-DE"/>
        </w:rPr>
      </w:pPr>
      <w:r w:rsidRPr="00CC0B43">
        <w:rPr>
          <w:rStyle w:val="FootnoteReference"/>
          <w:sz w:val="18"/>
          <w:szCs w:val="18"/>
        </w:rPr>
        <w:footnoteRef/>
      </w:r>
      <w:r w:rsidRPr="00CC0B43">
        <w:rPr>
          <w:sz w:val="18"/>
          <w:szCs w:val="18"/>
        </w:rPr>
        <w:t xml:space="preserve"> </w:t>
      </w:r>
      <w:r w:rsidRPr="00CC0B43">
        <w:rPr>
          <w:sz w:val="18"/>
          <w:szCs w:val="18"/>
          <w:lang w:val="de-DE"/>
        </w:rPr>
        <w:t>This is especially useful if the user stores all damage functions in a kind of ‚reference’ file and attaches the damage function</w:t>
      </w:r>
      <w:r>
        <w:rPr>
          <w:sz w:val="18"/>
          <w:szCs w:val="18"/>
          <w:lang w:val="de-DE"/>
        </w:rPr>
        <w:t xml:space="preserve">s after reading any new entity, </w:t>
      </w:r>
      <w:r w:rsidRPr="00CC0B43">
        <w:rPr>
          <w:sz w:val="18"/>
          <w:szCs w:val="18"/>
          <w:lang w:val="de-DE"/>
        </w:rPr>
        <w:t>which might itself not contain (all) damage functions (in this case, just disregard the warnings issues by climada_entity_read)</w:t>
      </w:r>
      <w:r>
        <w:rPr>
          <w:sz w:val="18"/>
          <w:szCs w:val="18"/>
          <w:lang w:val="de-DE"/>
        </w:rPr>
        <w:t>.</w:t>
      </w:r>
    </w:p>
  </w:footnote>
  <w:footnote w:id="51">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2">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4"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3">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4">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5">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6">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5" w:history="1">
        <w:r w:rsidRPr="003E486C">
          <w:rPr>
            <w:rStyle w:val="Hyperlink"/>
            <w:sz w:val="18"/>
            <w:szCs w:val="18"/>
            <w:lang w:val="de-DE"/>
          </w:rPr>
          <w:t>http://data.geocomm.com/catalog</w:t>
        </w:r>
      </w:hyperlink>
      <w:r w:rsidRPr="003E486C">
        <w:rPr>
          <w:sz w:val="18"/>
          <w:szCs w:val="18"/>
          <w:lang w:val="de-DE"/>
        </w:rPr>
        <w:t xml:space="preserve"> </w:t>
      </w:r>
    </w:p>
  </w:footnote>
  <w:footnote w:id="57">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58">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59">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0">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1">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2">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3">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6" w:history="1">
        <w:r w:rsidRPr="007E300C">
          <w:rPr>
            <w:rStyle w:val="Hyperlink"/>
            <w:sz w:val="18"/>
            <w:szCs w:val="18"/>
            <w:lang w:val="en-GB"/>
          </w:rPr>
          <w:t>https://help.github.com/articles/create-a-repo/</w:t>
        </w:r>
      </w:hyperlink>
      <w:r w:rsidRPr="007E300C">
        <w:rPr>
          <w:lang w:val="en-GB"/>
        </w:rPr>
        <w:t xml:space="preserve"> </w:t>
      </w:r>
    </w:p>
  </w:footnote>
  <w:footnote w:id="64">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5">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7"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6">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7">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68">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69">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0">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18" w:history="1">
        <w:r w:rsidRPr="00B0702A">
          <w:rPr>
            <w:rStyle w:val="Hyperlink"/>
            <w:sz w:val="18"/>
            <w:szCs w:val="18"/>
            <w:lang w:val="de-DE"/>
          </w:rPr>
          <w:t>https://github.com/davidnbresch/climada_module_country_risk</w:t>
        </w:r>
      </w:hyperlink>
      <w:r>
        <w:rPr>
          <w:sz w:val="18"/>
          <w:szCs w:val="18"/>
          <w:lang w:val="de-DE"/>
        </w:rPr>
        <w:t>.</w:t>
      </w:r>
    </w:p>
  </w:footnote>
  <w:footnote w:id="71">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19"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2">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3">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4">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5">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0"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6">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1">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2">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7">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78">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79">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0">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1">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2">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3">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4">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5">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3">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6">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7">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88">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89">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0">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4"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1">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5"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2">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3">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6"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B20C3"/>
    <w:rsid w:val="003B4B85"/>
    <w:rsid w:val="003B4C62"/>
    <w:rsid w:val="003C61D0"/>
    <w:rsid w:val="003C68EB"/>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816BC"/>
    <w:rsid w:val="004852C8"/>
    <w:rsid w:val="00487D51"/>
    <w:rsid w:val="00493B31"/>
    <w:rsid w:val="004A6591"/>
    <w:rsid w:val="004A6D68"/>
    <w:rsid w:val="004B7553"/>
    <w:rsid w:val="004C35E1"/>
    <w:rsid w:val="004C399E"/>
    <w:rsid w:val="004C4C16"/>
    <w:rsid w:val="004C5D85"/>
    <w:rsid w:val="004C77EB"/>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B524C"/>
    <w:rsid w:val="00BD1486"/>
    <w:rsid w:val="00BE2878"/>
    <w:rsid w:val="00BE38D9"/>
    <w:rsid w:val="00BE41C0"/>
    <w:rsid w:val="00BE6FC7"/>
    <w:rsid w:val="00C01B9A"/>
    <w:rsid w:val="00C071C5"/>
    <w:rsid w:val="00C2371F"/>
    <w:rsid w:val="00C23D2E"/>
    <w:rsid w:val="00C437B2"/>
    <w:rsid w:val="00C457D9"/>
    <w:rsid w:val="00C5171F"/>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image" Target="media/image50.png"/><Relationship Id="rId103" Type="http://schemas.openxmlformats.org/officeDocument/2006/relationships/image" Target="media/image51.png"/><Relationship Id="rId104" Type="http://schemas.openxmlformats.org/officeDocument/2006/relationships/hyperlink" Target="http://www.climatesmartplanning.net/tools.html" TargetMode="External"/><Relationship Id="rId105" Type="http://schemas.openxmlformats.org/officeDocument/2006/relationships/hyperlink" Target="http://www.preventionweb.net/english/professional" TargetMode="External"/><Relationship Id="rId106" Type="http://schemas.openxmlformats.org/officeDocument/2006/relationships/hyperlink" Target="http://iri.columbia.edu/our-expertise/climate/tools" TargetMode="External"/><Relationship Id="rId107" Type="http://schemas.openxmlformats.org/officeDocument/2006/relationships/hyperlink" Target="http://tilz.tearfund.org/en/themes/disasters/disaster_risk_reduction_drr/cost_benefit_analysis_of_dr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 TargetMode="External"/><Relationship Id="rId109" Type="http://schemas.openxmlformats.org/officeDocument/2006/relationships/hyperlink" Target="http://policy-practice.oxfam.org.uk/publications/applying-cost-benefit-analysis-at-a-community-level-a-review-of-its-use-for-com-303558"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image" Target="media/image36.png"/><Relationship Id="rId79" Type="http://schemas.openxmlformats.org/officeDocument/2006/relationships/image" Target="media/image37.png"/><Relationship Id="rId110" Type="http://schemas.openxmlformats.org/officeDocument/2006/relationships/hyperlink" Target="http://www.climate-service-center.de/036238/index_0036238.html.en" TargetMode="External"/><Relationship Id="rId90" Type="http://schemas.openxmlformats.org/officeDocument/2006/relationships/oleObject" Target="embeddings/Microsoft_Equation2.bin"/><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wmf"/><Relationship Id="rId94" Type="http://schemas.openxmlformats.org/officeDocument/2006/relationships/oleObject" Target="embeddings/Microsoft_Equation3.bin"/><Relationship Id="rId95" Type="http://schemas.openxmlformats.org/officeDocument/2006/relationships/image" Target="media/image44.png"/><Relationship Id="rId96" Type="http://schemas.openxmlformats.org/officeDocument/2006/relationships/hyperlink" Target="http://www.prh.noaa.gov/cphc/pages/FAQ/Winds_and_Energy.php" TargetMode="External"/><Relationship Id="rId97" Type="http://schemas.openxmlformats.org/officeDocument/2006/relationships/image" Target="media/image45.emf"/><Relationship Id="rId98" Type="http://schemas.openxmlformats.org/officeDocument/2006/relationships/image" Target="media/image46.png"/><Relationship Id="rId99" Type="http://schemas.openxmlformats.org/officeDocument/2006/relationships/image" Target="media/image47.emf"/><Relationship Id="rId111" Type="http://schemas.openxmlformats.org/officeDocument/2006/relationships/hyperlink" Target="https://resilience-exchange.sphaera.world/solutions/economics-of-climate-adaptation-assessment-model" TargetMode="External"/><Relationship Id="rId112" Type="http://schemas.openxmlformats.org/officeDocument/2006/relationships/hyperlink" Target="http://www.preventionweb.net/educational/view/42020" TargetMode="Externa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8.png"/><Relationship Id="rId80" Type="http://schemas.openxmlformats.org/officeDocument/2006/relationships/image" Target="media/image38.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39.emf"/><Relationship Id="rId88" Type="http://schemas.openxmlformats.org/officeDocument/2006/relationships/oleObject" Target="embeddings/Microsoft_Equation1.bin"/><Relationship Id="rId89" Type="http://schemas.openxmlformats.org/officeDocument/2006/relationships/image" Target="media/image40.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Octave_io_fix" TargetMode="External"/><Relationship Id="rId21" Type="http://schemas.openxmlformats.org/officeDocument/2006/relationships/image" Target="media/image30.png"/><Relationship Id="rId22" Type="http://schemas.openxmlformats.org/officeDocument/2006/relationships/image" Target="media/image31.png"/><Relationship Id="rId23" Type="http://schemas.openxmlformats.org/officeDocument/2006/relationships/image" Target="media/image35.png"/><Relationship Id="rId24" Type="http://schemas.openxmlformats.org/officeDocument/2006/relationships/hyperlink" Target="http://s03.static-shell.com/content/dam/shell-new/local/corporate/Scenarios/New_Lens_Scenarios_Low_Res.pdf" TargetMode="External"/><Relationship Id="rId25" Type="http://schemas.openxmlformats.org/officeDocument/2006/relationships/hyperlink" Target="https://github.com/davidnbresch/climada_module_ws_europe" TargetMode="External"/><Relationship Id="rId26"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http://en.wikipedia.org/wiki/Saffir%E2%80%93Simpson_Hurricane_Scale" TargetMode="External"/><Relationship Id="rId15" Type="http://schemas.openxmlformats.org/officeDocument/2006/relationships/hyperlink" Target="http://data.geocomm.com/catalog" TargetMode="External"/><Relationship Id="rId16" Type="http://schemas.openxmlformats.org/officeDocument/2006/relationships/hyperlink" Target="https://help.github.com/articles/create-a-repo/"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github.com/davidnbresch/climada_module_eto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A0A4A-FD3E-454C-9C26-CBC9C5E89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15125</Words>
  <Characters>86218</Characters>
  <Application>Microsoft Macintosh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3</cp:revision>
  <cp:lastPrinted>2016-05-17T16:57:00Z</cp:lastPrinted>
  <dcterms:created xsi:type="dcterms:W3CDTF">2016-05-17T16:57:00Z</dcterms:created>
  <dcterms:modified xsi:type="dcterms:W3CDTF">2016-05-17T16:58:00Z</dcterms:modified>
</cp:coreProperties>
</file>